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65227" w14:textId="77777777" w:rsidR="006E3283" w:rsidRPr="00184EB8" w:rsidRDefault="006E3283" w:rsidP="002E24FE">
      <w:pPr>
        <w:spacing w:line="240" w:lineRule="auto"/>
        <w:ind w:left="0"/>
        <w:rPr>
          <w:rFonts w:ascii="Times New Roman" w:hAnsi="Times New Roman" w:cs="Times New Roman"/>
        </w:rPr>
      </w:pPr>
      <w:bookmarkStart w:id="0" w:name="_GoBack"/>
      <w:bookmarkEnd w:id="0"/>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7A8A6A62"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485CCA">
        <w:rPr>
          <w:rFonts w:ascii="Times New Roman" w:hAnsi="Times New Roman" w:cs="Times New Roman"/>
          <w:b/>
          <w:color w:val="002776" w:themeColor="accent1"/>
          <w:szCs w:val="20"/>
        </w:rPr>
        <w:t>7</w:t>
      </w:r>
      <w:r w:rsidRPr="002E24FE">
        <w:rPr>
          <w:rFonts w:ascii="Times New Roman" w:hAnsi="Times New Roman" w:cs="Times New Roman"/>
          <w:b/>
          <w:color w:val="002776" w:themeColor="accent1"/>
          <w:szCs w:val="20"/>
        </w:rPr>
        <w:t>.</w:t>
      </w:r>
      <w:r w:rsidR="00BA7D44">
        <w:rPr>
          <w:rFonts w:ascii="Times New Roman" w:hAnsi="Times New Roman" w:cs="Times New Roman"/>
          <w:b/>
          <w:color w:val="002776" w:themeColor="accent1"/>
          <w:szCs w:val="20"/>
        </w:rPr>
        <w:t>2</w:t>
      </w:r>
    </w:p>
    <w:p w14:paraId="37B1B2B9" w14:textId="72436AB3"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r w:rsidR="006C3A43">
        <w:rPr>
          <w:rFonts w:ascii="Times New Roman" w:hAnsi="Times New Roman" w:cs="Times New Roman"/>
          <w:b/>
          <w:color w:val="002776" w:themeColor="accent1"/>
          <w:szCs w:val="20"/>
        </w:rPr>
        <w:t>14. decembra</w:t>
      </w:r>
      <w:r w:rsidR="00D62B5D" w:rsidRPr="006103C3">
        <w:rPr>
          <w:rFonts w:ascii="Times New Roman" w:hAnsi="Times New Roman" w:cs="Times New Roman"/>
          <w:b/>
          <w:color w:val="002776" w:themeColor="accent1"/>
          <w:szCs w:val="20"/>
        </w:rPr>
        <w:t xml:space="preserve"> </w:t>
      </w:r>
      <w:r w:rsidR="00DE647D" w:rsidRPr="00123A7F">
        <w:rPr>
          <w:rFonts w:ascii="Times New Roman" w:hAnsi="Times New Roman" w:cs="Times New Roman"/>
          <w:b/>
          <w:color w:val="002776" w:themeColor="accent1"/>
          <w:szCs w:val="20"/>
        </w:rPr>
        <w:t>201</w:t>
      </w:r>
      <w:r w:rsidR="00D62B5D">
        <w:rPr>
          <w:rFonts w:ascii="Times New Roman" w:hAnsi="Times New Roman" w:cs="Times New Roman"/>
          <w:b/>
          <w:color w:val="002776" w:themeColor="accent1"/>
          <w:szCs w:val="20"/>
        </w:rPr>
        <w:t>9</w:t>
      </w:r>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1"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1"/>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485CCA">
              <w:rPr>
                <w:noProof/>
                <w:webHidden/>
              </w:rPr>
              <w:t>2</w:t>
            </w:r>
            <w:r w:rsidR="006F5179">
              <w:rPr>
                <w:noProof/>
                <w:webHidden/>
              </w:rPr>
              <w:fldChar w:fldCharType="end"/>
            </w:r>
          </w:hyperlink>
        </w:p>
        <w:p w14:paraId="7CA64927" w14:textId="369010B5"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12514AF1" w14:textId="4FDDD01C"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3B4B712" w14:textId="0B85B2A5"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6E01E3B" w14:textId="232309B5"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6EF49E77" w14:textId="12382D36"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39701DB0" w14:textId="102B3CE6"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1D2FB67E" w14:textId="65CBF395"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sidR="00485CCA">
              <w:rPr>
                <w:noProof/>
                <w:webHidden/>
              </w:rPr>
              <w:t>7</w:t>
            </w:r>
            <w:r w:rsidR="006F5179">
              <w:rPr>
                <w:noProof/>
                <w:webHidden/>
              </w:rPr>
              <w:fldChar w:fldCharType="end"/>
            </w:r>
          </w:hyperlink>
        </w:p>
        <w:p w14:paraId="4A78B32D" w14:textId="5C4C8587"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137E900E" w14:textId="7EAB632E"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7969203B" w14:textId="1008E56F"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sidR="00485CCA">
              <w:rPr>
                <w:noProof/>
                <w:webHidden/>
              </w:rPr>
              <w:t>9</w:t>
            </w:r>
            <w:r w:rsidR="006F5179">
              <w:rPr>
                <w:noProof/>
                <w:webHidden/>
              </w:rPr>
              <w:fldChar w:fldCharType="end"/>
            </w:r>
          </w:hyperlink>
        </w:p>
        <w:p w14:paraId="51066BA6" w14:textId="40568141"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7E5C8EA6" w14:textId="51A981B7"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3FD98438" w14:textId="6EE220EB"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16B23362" w14:textId="7415D699"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sidR="00485CCA">
              <w:rPr>
                <w:noProof/>
                <w:webHidden/>
              </w:rPr>
              <w:t>11</w:t>
            </w:r>
            <w:r w:rsidR="006F5179">
              <w:rPr>
                <w:noProof/>
                <w:webHidden/>
              </w:rPr>
              <w:fldChar w:fldCharType="end"/>
            </w:r>
          </w:hyperlink>
        </w:p>
        <w:p w14:paraId="4D6A04AD" w14:textId="04D695C2"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77424506" w14:textId="373BF5CA"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445EF1C3" w14:textId="125116B6"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96DA5FA" w14:textId="4BE0ECCE"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4E851D05" w14:textId="0EE96684"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63B7214E" w14:textId="2B0E9AF7"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3859B09" w14:textId="6A5BB45E"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379958C0" w14:textId="5B2374A8"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10EE853C" w14:textId="7A3F2A31"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297A0D37" w14:textId="64429FD8"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4A59B638" w14:textId="6AFB2005"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6EB067DE" w14:textId="3F085800" w:rsidR="006F5179" w:rsidRDefault="0059577B">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008DB493" w14:textId="3E24DF54" w:rsidR="006F5179" w:rsidRDefault="0059577B">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sidR="00485CCA">
              <w:rPr>
                <w:noProof/>
                <w:webHidden/>
              </w:rPr>
              <w:t>16</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(Cost-Benefit Analysis)</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(Cash flow)</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(European Train Control System)</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(Global System for Mobile Communications – Railway)</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r w:rsidRPr="00184EB8">
        <w:rPr>
          <w:lang w:val="sk-SK"/>
        </w:rPr>
        <w:t>PpOH</w:t>
      </w:r>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t>Telematické (telekomunikačno informatické) aplikácie v nákladnej / osobnej doprave (Telematics Applications Freight services / Passenger services)</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t>Transeurópska dopravná sieť (Trans-European Transport Networks)</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Technická špecifikácia pre interoperabilitu (Technical specifications for interoperability)</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t>vyzvanie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lastRenderedPageBreak/>
        <w:t xml:space="preserve"> </w:t>
      </w:r>
      <w:bookmarkStart w:id="2" w:name="_Toc503797670"/>
      <w:r w:rsidR="00184EB8" w:rsidRPr="002E24FE">
        <w:t>Práca s príručkou</w:t>
      </w:r>
      <w:bookmarkEnd w:id="2"/>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3" w:name="_Toc503797671"/>
      <w:r w:rsidRPr="00184EB8">
        <w:t>Platnosť a účinnosť príručky</w:t>
      </w:r>
      <w:bookmarkEnd w:id="3"/>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V prípade prijatia aktualizácie PpOH počas výkonu činnosti definovanej v ňom, sa vykonávaná činnosť dokončí podľa postupov definovaných v tej verzii PpOH,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4" w:name="_Toc503797672"/>
      <w:r w:rsidRPr="00184EB8">
        <w:t>Cieľ</w:t>
      </w:r>
      <w:bookmarkEnd w:id="4"/>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 xml:space="preserve">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w:t>
      </w:r>
      <w:r w:rsidRPr="00184EB8">
        <w:rPr>
          <w:lang w:val="sk-SK"/>
        </w:rPr>
        <w:lastRenderedPageBreak/>
        <w:t>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5" w:name="_Toc499195309"/>
      <w:bookmarkStart w:id="6" w:name="_Toc499195489"/>
      <w:bookmarkStart w:id="7" w:name="_Toc499195310"/>
      <w:bookmarkStart w:id="8" w:name="_Toc499195490"/>
      <w:bookmarkStart w:id="9" w:name="_Toc499195311"/>
      <w:bookmarkStart w:id="10" w:name="_Toc499195491"/>
      <w:bookmarkStart w:id="11" w:name="_Toc499195312"/>
      <w:bookmarkStart w:id="12" w:name="_Toc499195492"/>
      <w:bookmarkStart w:id="13" w:name="_Toc499195313"/>
      <w:bookmarkStart w:id="14" w:name="_Toc499195493"/>
      <w:bookmarkStart w:id="15" w:name="_Toc499195314"/>
      <w:bookmarkStart w:id="16" w:name="_Toc499195494"/>
      <w:bookmarkStart w:id="17" w:name="_Toc499195315"/>
      <w:bookmarkStart w:id="18" w:name="_Toc499195495"/>
      <w:bookmarkStart w:id="19" w:name="_Toc499195316"/>
      <w:bookmarkStart w:id="20" w:name="_Toc499195496"/>
      <w:bookmarkStart w:id="21" w:name="_Toc499195317"/>
      <w:bookmarkStart w:id="22" w:name="_Toc499195497"/>
      <w:bookmarkStart w:id="23" w:name="_Toc499195318"/>
      <w:bookmarkStart w:id="24" w:name="_Toc499195498"/>
      <w:bookmarkStart w:id="25" w:name="_Toc499195319"/>
      <w:bookmarkStart w:id="26" w:name="_Toc499195499"/>
      <w:bookmarkStart w:id="27" w:name="_Toc499195320"/>
      <w:bookmarkStart w:id="28" w:name="_Toc499195500"/>
      <w:bookmarkStart w:id="29" w:name="_Toc499195321"/>
      <w:bookmarkStart w:id="30" w:name="_Toc499195501"/>
      <w:bookmarkStart w:id="31" w:name="_Toc499195322"/>
      <w:bookmarkStart w:id="32" w:name="_Toc499195502"/>
      <w:bookmarkStart w:id="33" w:name="_Toc499195323"/>
      <w:bookmarkStart w:id="34" w:name="_Toc499195503"/>
      <w:bookmarkStart w:id="35" w:name="_Toc499195324"/>
      <w:bookmarkStart w:id="36" w:name="_Toc499195504"/>
      <w:bookmarkStart w:id="37" w:name="_Toc499195325"/>
      <w:bookmarkStart w:id="38" w:name="_Toc499195505"/>
      <w:bookmarkStart w:id="39" w:name="_Toc499195326"/>
      <w:bookmarkStart w:id="40" w:name="_Toc499195506"/>
      <w:bookmarkStart w:id="41" w:name="_Toc499195327"/>
      <w:bookmarkStart w:id="42" w:name="_Toc499195507"/>
      <w:bookmarkStart w:id="43" w:name="_Toc499195328"/>
      <w:bookmarkStart w:id="44" w:name="_Toc499195508"/>
      <w:bookmarkStart w:id="45" w:name="_Toc499195329"/>
      <w:bookmarkStart w:id="46" w:name="_Toc499195509"/>
      <w:bookmarkStart w:id="47" w:name="_Toc499195330"/>
      <w:bookmarkStart w:id="48" w:name="_Toc499195510"/>
      <w:bookmarkStart w:id="49" w:name="_Toc499195331"/>
      <w:bookmarkStart w:id="50" w:name="_Toc499195511"/>
      <w:bookmarkStart w:id="51" w:name="_Toc499195332"/>
      <w:bookmarkStart w:id="52" w:name="_Toc499195512"/>
      <w:bookmarkStart w:id="53" w:name="_Toc499195333"/>
      <w:bookmarkStart w:id="54" w:name="_Toc499195513"/>
      <w:bookmarkStart w:id="55" w:name="_Toc499195334"/>
      <w:bookmarkStart w:id="56" w:name="_Toc499195514"/>
      <w:bookmarkStart w:id="57" w:name="_Toc499195335"/>
      <w:bookmarkStart w:id="58" w:name="_Toc499195515"/>
      <w:bookmarkStart w:id="59" w:name="_Toc499195336"/>
      <w:bookmarkStart w:id="60" w:name="_Toc499195516"/>
      <w:bookmarkStart w:id="61" w:name="_Toc499195337"/>
      <w:bookmarkStart w:id="62" w:name="_Toc499195517"/>
      <w:bookmarkStart w:id="63" w:name="_Toc499195338"/>
      <w:bookmarkStart w:id="64" w:name="_Toc499195518"/>
      <w:bookmarkStart w:id="65" w:name="_Toc499195339"/>
      <w:bookmarkStart w:id="66" w:name="_Toc499195519"/>
      <w:bookmarkStart w:id="67" w:name="_Toc499195340"/>
      <w:bookmarkStart w:id="68" w:name="_Toc499195520"/>
      <w:bookmarkStart w:id="69" w:name="_Toc499195341"/>
      <w:bookmarkStart w:id="70" w:name="_Toc499195521"/>
      <w:bookmarkStart w:id="71" w:name="_Toc499195342"/>
      <w:bookmarkStart w:id="72" w:name="_Toc499195522"/>
      <w:bookmarkStart w:id="73" w:name="_Toc499195343"/>
      <w:bookmarkStart w:id="74" w:name="_Toc499195523"/>
      <w:bookmarkStart w:id="75" w:name="_Toc499195344"/>
      <w:bookmarkStart w:id="76" w:name="_Toc499195524"/>
      <w:bookmarkStart w:id="77" w:name="_Toc5037976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lastRenderedPageBreak/>
        <w:t>Všeobecné informácie k odbornému hodnoteniu žiadostí o NFP</w:t>
      </w:r>
      <w:bookmarkEnd w:id="77"/>
    </w:p>
    <w:p w14:paraId="34C9E18B" w14:textId="1D00050D" w:rsidR="006E3283" w:rsidRPr="00184EB8" w:rsidRDefault="00F9772A" w:rsidP="00724262">
      <w:pPr>
        <w:pStyle w:val="Nadpis2"/>
        <w:tabs>
          <w:tab w:val="clear" w:pos="0"/>
        </w:tabs>
        <w:ind w:left="990"/>
      </w:pPr>
      <w:bookmarkStart w:id="78" w:name="_Toc503797674"/>
      <w:bookmarkStart w:id="79" w:name="_Toc503797675"/>
      <w:bookmarkStart w:id="80" w:name="_Toc503797676"/>
      <w:bookmarkStart w:id="81" w:name="_Toc503797677"/>
      <w:bookmarkStart w:id="82" w:name="_Toc503797678"/>
      <w:bookmarkStart w:id="83" w:name="_Toc503797679"/>
      <w:bookmarkStart w:id="84" w:name="_Toc503797680"/>
      <w:bookmarkStart w:id="85" w:name="_Toc503797681"/>
      <w:bookmarkStart w:id="86" w:name="_Toc503797682"/>
      <w:bookmarkStart w:id="87" w:name="_Toc503797683"/>
      <w:bookmarkEnd w:id="78"/>
      <w:bookmarkEnd w:id="79"/>
      <w:bookmarkEnd w:id="80"/>
      <w:bookmarkEnd w:id="81"/>
      <w:bookmarkEnd w:id="82"/>
      <w:bookmarkEnd w:id="83"/>
      <w:bookmarkEnd w:id="84"/>
      <w:bookmarkEnd w:id="85"/>
      <w:bookmarkEnd w:id="86"/>
      <w:r>
        <w:t>Základný popis práv a povinností odborných hodnotiteľov</w:t>
      </w:r>
      <w:bookmarkEnd w:id="87"/>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r w:rsidRPr="002E24FE">
        <w:rPr>
          <w:lang w:val="sk-SK"/>
        </w:rPr>
        <w:t>pri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(t. j. neexistuje dohoda o  závere ohľadne niektorého z kritérií odborného hodnotenia, ktorá má za následok nemožnosť odovzdať hodnotiaci hárok reprezentujúci spoločný postoj odborných hodnotiteľov)</w:t>
      </w:r>
      <w:r>
        <w:rPr>
          <w:lang w:val="sk-SK"/>
        </w:rPr>
        <w:t xml:space="preserve"> tento </w:t>
      </w:r>
      <w:r>
        <w:rPr>
          <w:szCs w:val="22"/>
        </w:rPr>
        <w:t>rozpor oznámiť písomne RO (písomné oznámenie rozporu zaznamenajú odborní hodnotitelia v hodnotiacom hárku).</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odborného hodnotenia žiadostí o NFP (uvedené v kap. 2.1 tejto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r>
        <w:rPr>
          <w:szCs w:val="22"/>
        </w:rPr>
        <w:t>pred účasťou na odbornom hodnotení podpísať Čestné vyhlásenie o nestrannosti, zachovaní dôvernosti informácií a vylúčení konfliktu záujmov</w:t>
      </w:r>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konfliktu záujmov informovať o tejto skutočnosti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r>
        <w:rPr>
          <w:szCs w:val="22"/>
        </w:rPr>
        <w:t>ku každému hodnotiacemu kritériu uviesť slovný komentár, ktorý musí obsahovať jasné a čo najpresnejšie zdôvodnenie vyhodnotenia daného kritéria a uviesť odkaz na konkrétnu časť ŽoNFP, prílohu/prílohy ŽoNFP, resp. inú dokumentáciu, na základe ktorej OH vyhodnotil príslušné hodnotiace resp. vylučovacie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26D27A4F"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88" w:name="_Toc503797684"/>
      <w:r>
        <w:t>Predchádzanie konfliktu záujmov</w:t>
      </w:r>
      <w:bookmarkEnd w:id="88"/>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lastRenderedPageBreak/>
        <w:t>OH</w:t>
      </w:r>
      <w:r w:rsidRPr="00252E75">
        <w:rPr>
          <w:lang w:val="sk-SK"/>
        </w:rPr>
        <w:t xml:space="preserve"> </w:t>
      </w:r>
      <w:r>
        <w:rPr>
          <w:lang w:val="sk-SK"/>
        </w:rPr>
        <w:t>je povinný</w:t>
      </w:r>
      <w:r>
        <w:rPr>
          <w:szCs w:val="22"/>
        </w:rPr>
        <w:t xml:space="preserve"> podpísať Čestné vyhlásenie o nestrannosti, zachovaní dôvernosti informácií a vylúčení konfliktu záujmov uvedené v prílohe č. 6 a </w:t>
      </w:r>
      <w:r>
        <w:rPr>
          <w:lang w:val="sk-SK"/>
        </w:rPr>
        <w:t xml:space="preserve">v prípade </w:t>
      </w:r>
      <w:r>
        <w:rPr>
          <w:szCs w:val="22"/>
        </w:rPr>
        <w:t>konfliktu záujmov informovať o tejto skutočnosti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RO je oprávnený preverovať a vyhodnocovať kvalitu práce OH. V prípade nedostatočnej kvality ich práce je RO oprávnený vylúčiť OH zo zoznamu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 xml:space="preserve">O vyradení odborného hodnotiteľa z databázy odborných hodnotiteľov projektov TP rozhodne </w:t>
      </w:r>
      <w:r w:rsidRPr="00184EB8">
        <w:rPr>
          <w:rFonts w:cs="Calibri"/>
          <w:szCs w:val="20"/>
        </w:rPr>
        <w:t xml:space="preserve">trojčlenná komisia zložená z </w:t>
      </w:r>
      <w:r w:rsidRPr="002E24FE">
        <w:t>VPM OKMP, VPM OROPTP a RPM ORPISaTP</w:t>
      </w:r>
      <w:r w:rsidRPr="00184EB8">
        <w:t xml:space="preserve"> analogicky v zmysle relevantných prípadov uvedených v predchádzajúcom odseku (prioritná os 1-6), pričom o vyradení z databázy odborných hodnotiteľov projektov TP je manažér RO OPII informovaný písomne v zmysle prílohy č. 5 a zároveň sa mu táto skutočnosť zohľadní v opise štátnozamestnaneckého miesta pri jej najbližšej aktualizácii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89" w:name="_Toc503797685"/>
      <w:r>
        <w:t>I</w:t>
      </w:r>
      <w:r w:rsidR="001D40F2" w:rsidRPr="007F5E19">
        <w:t>nformácia o type a vecnom zameraní hodnotených projektov</w:t>
      </w:r>
      <w:bookmarkEnd w:id="89"/>
    </w:p>
    <w:p w14:paraId="6A3AF438" w14:textId="77777777" w:rsidR="001D40F2" w:rsidRDefault="001D40F2" w:rsidP="002E24FE">
      <w:pPr>
        <w:pStyle w:val="BodyText1"/>
        <w:spacing w:line="240" w:lineRule="auto"/>
        <w:rPr>
          <w:lang w:val="sk-SK"/>
        </w:rPr>
      </w:pPr>
      <w:r>
        <w:rPr>
          <w:lang w:val="sk-SK"/>
        </w:rPr>
        <w:t xml:space="preserve">Predmetom hodnotenia sú pojekty OPII v rámci PO 1 až 6 sú tématicky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posilnenie regionálnej mobility prepojením sekundárnych a terciálnych uzlov s infraštruktúrou TEN-T vrátane multimodálnych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0" w:name="_Toc503797686"/>
      <w:r>
        <w:lastRenderedPageBreak/>
        <w:t>I</w:t>
      </w:r>
      <w:r w:rsidR="007560D7" w:rsidRPr="00A50EFE">
        <w:t>nformácia o</w:t>
      </w:r>
      <w:r w:rsidR="007560D7" w:rsidRPr="007560D7">
        <w:t xml:space="preserve"> </w:t>
      </w:r>
      <w:r w:rsidR="007560D7" w:rsidRPr="00A50EFE">
        <w:t>type a</w:t>
      </w:r>
      <w:r w:rsidR="007560D7">
        <w:t> štruktúre hodnotiacich kritérií</w:t>
      </w:r>
      <w:bookmarkEnd w:id="90"/>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1" w:name="_Toc503797687"/>
      <w:r>
        <w:t>I</w:t>
      </w:r>
      <w:r w:rsidR="00BC445C" w:rsidRPr="00A50EFE">
        <w:t>nformácia o</w:t>
      </w:r>
      <w:r w:rsidR="00BC445C">
        <w:t> zdrojoch pre odborné hodnotenia ŽoNFP</w:t>
      </w:r>
      <w:bookmarkEnd w:id="91"/>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92" w:name="_Toc503797688"/>
      <w:r>
        <w:lastRenderedPageBreak/>
        <w:t>I</w:t>
      </w:r>
      <w:r w:rsidR="001D40F2" w:rsidRPr="00A50EFE">
        <w:t>nformácia o</w:t>
      </w:r>
      <w:r>
        <w:t> zverejňovaní zoznamov odborných hodnotiteľov a výstupov z odborného hodnotenia</w:t>
      </w:r>
      <w:bookmarkEnd w:id="92"/>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93" w:name="_Toc503797689"/>
      <w:bookmarkStart w:id="94" w:name="_Toc503797690"/>
      <w:bookmarkStart w:id="95" w:name="_Toc503797691"/>
      <w:bookmarkStart w:id="96" w:name="_Toc503797692"/>
      <w:bookmarkStart w:id="97" w:name="_Toc503797693"/>
      <w:bookmarkStart w:id="98" w:name="_Toc503797694"/>
      <w:bookmarkStart w:id="99" w:name="_Toc503797695"/>
      <w:bookmarkStart w:id="100" w:name="_Toc503797696"/>
      <w:bookmarkStart w:id="101" w:name="_Toc503797697"/>
      <w:bookmarkStart w:id="102" w:name="_Toc503797698"/>
      <w:bookmarkStart w:id="103" w:name="_Toc503797699"/>
      <w:bookmarkEnd w:id="93"/>
      <w:bookmarkEnd w:id="94"/>
      <w:bookmarkEnd w:id="95"/>
      <w:bookmarkEnd w:id="96"/>
      <w:bookmarkEnd w:id="97"/>
      <w:bookmarkEnd w:id="98"/>
      <w:bookmarkEnd w:id="99"/>
      <w:bookmarkEnd w:id="100"/>
      <w:bookmarkEnd w:id="101"/>
      <w:bookmarkEnd w:id="102"/>
      <w:r w:rsidRPr="00184EB8">
        <w:lastRenderedPageBreak/>
        <w:t>Or</w:t>
      </w:r>
      <w:r w:rsidR="00630FDE">
        <w:t>ganizačno - technické zabezpečenie odborného hodnotenia žiadostí o NFP</w:t>
      </w:r>
      <w:bookmarkEnd w:id="103"/>
    </w:p>
    <w:p w14:paraId="644DC633" w14:textId="5B3CB712" w:rsidR="00D44ACC" w:rsidRDefault="001E2BEB">
      <w:pPr>
        <w:pStyle w:val="Nadpis2"/>
        <w:tabs>
          <w:tab w:val="clear" w:pos="0"/>
        </w:tabs>
        <w:ind w:left="990"/>
      </w:pPr>
      <w:bookmarkStart w:id="104" w:name="_Toc498352270"/>
      <w:bookmarkStart w:id="105" w:name="_Toc499195355"/>
      <w:bookmarkStart w:id="106" w:name="_Toc499195535"/>
      <w:bookmarkStart w:id="107" w:name="_Toc503797700"/>
      <w:bookmarkEnd w:id="104"/>
      <w:bookmarkEnd w:id="105"/>
      <w:bookmarkEnd w:id="106"/>
      <w:r>
        <w:t>Subjekty</w:t>
      </w:r>
      <w:r w:rsidRPr="002E24FE">
        <w:t xml:space="preserve"> a zamestnanci, zapojení do výkonu odborného hodnotenia a spôsob komunikácie RO s</w:t>
      </w:r>
      <w:r w:rsidR="00EA12EE">
        <w:t> </w:t>
      </w:r>
      <w:r w:rsidRPr="002E24FE">
        <w:t>hodnotiteľom</w:t>
      </w:r>
      <w:bookmarkEnd w:id="107"/>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08" w:name="_Toc503797701"/>
      <w:r w:rsidRPr="002E24FE">
        <w:t>Administratívne povinnosti pred začiatkom odborného hodnotenia</w:t>
      </w:r>
      <w:bookmarkEnd w:id="108"/>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lastRenderedPageBreak/>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09" w:name="_Toc503797702"/>
      <w:r w:rsidRPr="002E24FE">
        <w:t>Organizačno – technické náležitosti výkonu odborného hodnotenia žiadostí o</w:t>
      </w:r>
      <w:r w:rsidR="00DF3A1B">
        <w:t> </w:t>
      </w:r>
      <w:r w:rsidRPr="002E24FE">
        <w:t>NFP</w:t>
      </w:r>
      <w:bookmarkEnd w:id="109"/>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Odborné hodnotenie tej istej ŽoNFP vykonávajú minimálne dvaja odborní hodnotitelia, ktorí vyhodnocujú ŽoNFP v totožnom rozsahu na základe hodnotiacich kritérií ktoré sú sučasťou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0" w:name="_Toc503797703"/>
      <w:r w:rsidRPr="002E24FE">
        <w:lastRenderedPageBreak/>
        <w:t>Zabezpečenie účasti partnerov v procese odborného hodnotenia</w:t>
      </w:r>
      <w:bookmarkEnd w:id="110"/>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1" w:name="_Toc503797704"/>
      <w:r w:rsidRPr="002E24FE">
        <w:t>Školenie odborných hodnotiteľov</w:t>
      </w:r>
      <w:bookmarkEnd w:id="111"/>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12" w:name="_Toc499195361"/>
      <w:bookmarkStart w:id="113" w:name="_Toc499195541"/>
      <w:bookmarkStart w:id="114" w:name="_Toc499195362"/>
      <w:bookmarkStart w:id="115" w:name="_Toc499195542"/>
      <w:bookmarkStart w:id="116" w:name="_Toc499195363"/>
      <w:bookmarkStart w:id="117" w:name="_Toc499195543"/>
      <w:bookmarkStart w:id="118" w:name="_Toc499195364"/>
      <w:bookmarkStart w:id="119" w:name="_Toc499195544"/>
      <w:bookmarkStart w:id="120" w:name="_Toc499195365"/>
      <w:bookmarkStart w:id="121" w:name="_Toc499195545"/>
      <w:bookmarkStart w:id="122" w:name="_Toc499195366"/>
      <w:bookmarkStart w:id="123" w:name="_Toc499195546"/>
      <w:bookmarkStart w:id="124" w:name="_Toc499195367"/>
      <w:bookmarkStart w:id="125" w:name="_Toc499195547"/>
      <w:bookmarkStart w:id="126" w:name="_Toc499195368"/>
      <w:bookmarkStart w:id="127" w:name="_Toc499195548"/>
      <w:bookmarkStart w:id="128" w:name="_Toc499195369"/>
      <w:bookmarkStart w:id="129" w:name="_Toc499195549"/>
      <w:bookmarkStart w:id="130" w:name="_Toc499195370"/>
      <w:bookmarkStart w:id="131" w:name="_Toc499195550"/>
      <w:bookmarkStart w:id="132" w:name="_Toc499195372"/>
      <w:bookmarkStart w:id="133" w:name="_Toc499195552"/>
      <w:bookmarkStart w:id="134" w:name="_Toc499195373"/>
      <w:bookmarkStart w:id="135" w:name="_Toc499195553"/>
      <w:bookmarkStart w:id="136" w:name="_Toc499195374"/>
      <w:bookmarkStart w:id="137" w:name="_Toc499195554"/>
      <w:bookmarkStart w:id="138" w:name="_Toc498352272"/>
      <w:bookmarkStart w:id="139" w:name="_Toc499195375"/>
      <w:bookmarkStart w:id="140" w:name="_Toc499195555"/>
      <w:bookmarkStart w:id="141" w:name="_Toc498352273"/>
      <w:bookmarkStart w:id="142" w:name="_Toc499195376"/>
      <w:bookmarkStart w:id="143" w:name="_Toc499195556"/>
      <w:bookmarkStart w:id="144" w:name="_Toc499195377"/>
      <w:bookmarkStart w:id="145" w:name="_Toc499195557"/>
      <w:bookmarkStart w:id="146" w:name="_Toc499195378"/>
      <w:bookmarkStart w:id="147" w:name="_Toc499195558"/>
      <w:bookmarkStart w:id="148" w:name="_Toc499195379"/>
      <w:bookmarkStart w:id="149" w:name="_Toc499195559"/>
      <w:bookmarkStart w:id="150" w:name="_Toc499195380"/>
      <w:bookmarkStart w:id="151" w:name="_Toc499195560"/>
      <w:bookmarkStart w:id="152" w:name="_Toc499195381"/>
      <w:bookmarkStart w:id="153" w:name="_Toc499195561"/>
      <w:bookmarkStart w:id="154" w:name="_Toc499195382"/>
      <w:bookmarkStart w:id="155" w:name="_Toc499195562"/>
      <w:bookmarkStart w:id="156" w:name="_Toc499195383"/>
      <w:bookmarkStart w:id="157" w:name="_Toc499195563"/>
      <w:bookmarkStart w:id="158" w:name="_Toc499195384"/>
      <w:bookmarkStart w:id="159" w:name="_Toc499195564"/>
      <w:bookmarkStart w:id="160" w:name="_Toc499195385"/>
      <w:bookmarkStart w:id="161" w:name="_Toc499195565"/>
      <w:bookmarkStart w:id="162" w:name="_Toc499195386"/>
      <w:bookmarkStart w:id="163" w:name="_Toc499195566"/>
      <w:bookmarkStart w:id="164" w:name="_Toc499195387"/>
      <w:bookmarkStart w:id="165" w:name="_Toc499195567"/>
      <w:bookmarkStart w:id="166" w:name="_Toc499195388"/>
      <w:bookmarkStart w:id="167" w:name="_Toc499195568"/>
      <w:bookmarkStart w:id="168" w:name="_Toc499195389"/>
      <w:bookmarkStart w:id="169" w:name="_Toc499195569"/>
      <w:bookmarkStart w:id="170" w:name="_Toc499195390"/>
      <w:bookmarkStart w:id="171" w:name="_Toc499195570"/>
      <w:bookmarkStart w:id="172" w:name="_Toc499195391"/>
      <w:bookmarkStart w:id="173" w:name="_Toc499195571"/>
      <w:bookmarkStart w:id="174" w:name="_Toc499195392"/>
      <w:bookmarkStart w:id="175" w:name="_Toc499195572"/>
      <w:bookmarkStart w:id="176" w:name="_Toc5037977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E24FE">
        <w:rPr>
          <w:szCs w:val="32"/>
        </w:rPr>
        <w:lastRenderedPageBreak/>
        <w:t>Proces odborného hodnotenia žiadostí o NFP</w:t>
      </w:r>
      <w:bookmarkEnd w:id="176"/>
      <w:r w:rsidRPr="002E24FE" w:rsidDel="001E2BEB">
        <w:rPr>
          <w:szCs w:val="32"/>
        </w:rPr>
        <w:t xml:space="preserve"> </w:t>
      </w:r>
    </w:p>
    <w:p w14:paraId="3842DE72" w14:textId="1176C238" w:rsidR="006E3283" w:rsidRDefault="001E2BEB" w:rsidP="001E2BEB">
      <w:pPr>
        <w:pStyle w:val="Nadpis2"/>
        <w:tabs>
          <w:tab w:val="clear" w:pos="0"/>
        </w:tabs>
        <w:ind w:left="990"/>
      </w:pPr>
      <w:bookmarkStart w:id="177" w:name="_Toc503797706"/>
      <w:r w:rsidRPr="002E24FE">
        <w:t xml:space="preserve">Rámcový popis </w:t>
      </w:r>
      <w:r w:rsidR="00CB5320">
        <w:t>najčastejších nedostatkov</w:t>
      </w:r>
      <w:bookmarkEnd w:id="177"/>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78" w:name="_Toc503797707"/>
      <w:r w:rsidRPr="002E24FE">
        <w:t>Postup pri dožiadaní doplňujúcich informácií</w:t>
      </w:r>
      <w:bookmarkEnd w:id="178"/>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79" w:name="_Toc503797708"/>
      <w:r w:rsidRPr="002E24FE">
        <w:t>Spôsob vypracovania individuálneho hodnotiaceho hárku</w:t>
      </w:r>
      <w:bookmarkEnd w:id="179"/>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164DD2">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späťvzatiu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individálny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0" w:name="_Toc503797709"/>
      <w:r w:rsidRPr="002E24FE">
        <w:t>Spôsob vypracovania spoločného hodnotiaceho hárku</w:t>
      </w:r>
      <w:bookmarkEnd w:id="180"/>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lastRenderedPageBreak/>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vypracuvávajú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1" w:name="_Toc503797710"/>
      <w:r w:rsidRPr="002E24FE">
        <w:t xml:space="preserve">Postup pre prípad </w:t>
      </w:r>
      <w:r w:rsidR="00CB5320">
        <w:t>nezhody</w:t>
      </w:r>
      <w:r w:rsidR="00CB5320" w:rsidRPr="002E24FE">
        <w:t xml:space="preserve"> </w:t>
      </w:r>
      <w:r w:rsidRPr="002E24FE">
        <w:t>odborných hodnotiteľov</w:t>
      </w:r>
      <w:bookmarkEnd w:id="181"/>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82" w:name="_Toc503797711"/>
      <w:r w:rsidRPr="00CB5320">
        <w:t>Formálna kontrola hodnotiaceho hárku odborného hodnotenia</w:t>
      </w:r>
      <w:bookmarkEnd w:id="182"/>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83" w:name="_Toc443308198"/>
      <w:bookmarkStart w:id="184" w:name="_Toc443308199"/>
      <w:bookmarkStart w:id="185" w:name="_Toc499195422"/>
      <w:bookmarkStart w:id="186" w:name="_Toc499195602"/>
      <w:bookmarkStart w:id="187" w:name="_Toc503797712"/>
      <w:bookmarkEnd w:id="183"/>
      <w:bookmarkEnd w:id="184"/>
      <w:bookmarkEnd w:id="185"/>
      <w:bookmarkEnd w:id="186"/>
      <w:r w:rsidRPr="00184EB8">
        <w:lastRenderedPageBreak/>
        <w:t xml:space="preserve">Spôsob vyhodnotenia </w:t>
      </w:r>
      <w:r w:rsidR="001E2BEB" w:rsidRPr="001E2BEB">
        <w:t xml:space="preserve">hodnotiacich </w:t>
      </w:r>
      <w:r w:rsidRPr="00184EB8">
        <w:t>kritérií</w:t>
      </w:r>
      <w:r w:rsidR="001E2BEB" w:rsidRPr="001E2BEB">
        <w:t xml:space="preserve"> odborného hodnotenia žiadostí o NFP</w:t>
      </w:r>
      <w:bookmarkEnd w:id="187"/>
    </w:p>
    <w:p w14:paraId="52D382EC" w14:textId="0B8C300A" w:rsidR="001E2BEB" w:rsidRDefault="001E2BEB" w:rsidP="002E24FE">
      <w:pPr>
        <w:pStyle w:val="Nadpis2"/>
        <w:tabs>
          <w:tab w:val="clear" w:pos="0"/>
        </w:tabs>
        <w:ind w:left="990"/>
      </w:pPr>
      <w:bookmarkStart w:id="188" w:name="_Toc503797713"/>
      <w:r w:rsidRPr="002E24FE">
        <w:t>Sumárna informácia o hodnotiacich kritériách</w:t>
      </w:r>
      <w:bookmarkEnd w:id="188"/>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89" w:name="_Toc503797714"/>
      <w:r w:rsidRPr="002E24FE">
        <w:t>Spôsob vyhodnotenia jednotlivých hodnotiacich kritérií odborného hodnotenia žiadostí o NFP</w:t>
      </w:r>
      <w:bookmarkEnd w:id="189"/>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hodnotenie</w:t>
            </w:r>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hodnotitelia sú </w:t>
      </w:r>
      <w:r w:rsidR="00FB5DB1" w:rsidRPr="00184EB8">
        <w:t xml:space="preserve">v procese výkonu odborného hodnotenia </w:t>
      </w:r>
      <w:r w:rsidRPr="00184EB8">
        <w:t xml:space="preserve">povinní zohľadniť </w:t>
      </w:r>
      <w:r w:rsidR="00FB5DB1" w:rsidRPr="00184EB8">
        <w:t xml:space="preserve">relevantné </w:t>
      </w:r>
      <w:r w:rsidRPr="00184EB8">
        <w:t>závery z</w:t>
      </w:r>
      <w:r w:rsidR="00FB5DB1" w:rsidRPr="00184EB8">
        <w:t>o všetkých dostupných riadne uskutočnených kontrol, ktoré sú z vecného hľadiska naviazané na predmetnú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správu z kontroly NKÚ a pod.)</w:t>
      </w:r>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0" w:name="_Toc503797715"/>
      <w:r w:rsidRPr="002E24FE">
        <w:lastRenderedPageBreak/>
        <w:t>Prílohy príručky pre odborných hodnotiteľov</w:t>
      </w:r>
      <w:bookmarkEnd w:id="190"/>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Príloha 4: Odvolávací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164DD2">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164DD2">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4DD2"/>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4928"/>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0965"/>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5CCA"/>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9577B"/>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03C3"/>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3A43"/>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B3B60"/>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A7D44"/>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2B5D"/>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7027D7B"/>
  <w15:docId w15:val="{B9F3EA77-2842-457D-8B92-242A118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912BD-D8A3-4B7A-98EA-5ACB34A92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6577</Words>
  <Characters>37489</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Saxa, Patrik</cp:lastModifiedBy>
  <cp:revision>25</cp:revision>
  <cp:lastPrinted>2018-10-26T12:10:00Z</cp:lastPrinted>
  <dcterms:created xsi:type="dcterms:W3CDTF">2018-01-26T09:45:00Z</dcterms:created>
  <dcterms:modified xsi:type="dcterms:W3CDTF">2019-12-13T12:12:00Z</dcterms:modified>
</cp:coreProperties>
</file>